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3D" w:rsidRPr="006B6DB5" w:rsidRDefault="00712B3D" w:rsidP="00712B3D">
      <w:pPr>
        <w:pStyle w:val="a3"/>
        <w:tabs>
          <w:tab w:val="left" w:pos="709"/>
        </w:tabs>
        <w:spacing w:after="0"/>
        <w:ind w:left="0" w:firstLine="709"/>
        <w:jc w:val="center"/>
        <w:rPr>
          <w:b/>
        </w:rPr>
      </w:pPr>
      <w:r w:rsidRPr="006B6DB5">
        <w:rPr>
          <w:b/>
        </w:rPr>
        <w:t>Курсы повышения квалификации</w:t>
      </w:r>
    </w:p>
    <w:p w:rsidR="00712B3D" w:rsidRPr="006B6DB5" w:rsidRDefault="00712B3D" w:rsidP="00712B3D">
      <w:pPr>
        <w:pStyle w:val="a3"/>
        <w:tabs>
          <w:tab w:val="left" w:pos="709"/>
        </w:tabs>
        <w:spacing w:after="0"/>
        <w:ind w:left="0" w:firstLine="709"/>
        <w:jc w:val="center"/>
      </w:pPr>
      <w:r w:rsidRPr="006B6DB5">
        <w:rPr>
          <w:b/>
        </w:rPr>
        <w:t>«Внедрение профессиональных стандартов в организацию»</w:t>
      </w:r>
    </w:p>
    <w:p w:rsidR="00712B3D" w:rsidRDefault="00712B3D" w:rsidP="00712B3D">
      <w:pPr>
        <w:pStyle w:val="a3"/>
        <w:tabs>
          <w:tab w:val="left" w:pos="709"/>
        </w:tabs>
        <w:spacing w:after="0"/>
        <w:ind w:left="0"/>
        <w:jc w:val="both"/>
        <w:rPr>
          <w:b/>
        </w:rPr>
      </w:pPr>
    </w:p>
    <w:p w:rsidR="00712B3D" w:rsidRDefault="00712B3D" w:rsidP="00712B3D">
      <w:pPr>
        <w:pStyle w:val="a3"/>
        <w:tabs>
          <w:tab w:val="left" w:pos="709"/>
        </w:tabs>
        <w:spacing w:after="0"/>
        <w:ind w:left="0"/>
        <w:jc w:val="both"/>
      </w:pPr>
      <w:r w:rsidRPr="000605A8">
        <w:rPr>
          <w:b/>
        </w:rPr>
        <w:t>Место проведения</w:t>
      </w:r>
      <w:r w:rsidRPr="000605A8">
        <w:t>:</w:t>
      </w:r>
      <w:r>
        <w:t xml:space="preserve"> учебный центр «</w:t>
      </w:r>
      <w:proofErr w:type="spellStart"/>
      <w:r>
        <w:t>ПрофСтандарт</w:t>
      </w:r>
      <w:proofErr w:type="spellEnd"/>
      <w:r>
        <w:t xml:space="preserve">», г. Казань, ул. </w:t>
      </w:r>
      <w:proofErr w:type="spellStart"/>
      <w:r>
        <w:t>Шуртыгина</w:t>
      </w:r>
      <w:proofErr w:type="spellEnd"/>
      <w:r>
        <w:t>, д.22</w:t>
      </w:r>
      <w:r w:rsidRPr="000605A8">
        <w:t xml:space="preserve"> </w:t>
      </w:r>
    </w:p>
    <w:p w:rsidR="00712B3D" w:rsidRDefault="00712B3D" w:rsidP="00712B3D">
      <w:pPr>
        <w:pStyle w:val="a3"/>
        <w:tabs>
          <w:tab w:val="left" w:pos="709"/>
        </w:tabs>
        <w:spacing w:after="0"/>
        <w:ind w:left="0"/>
        <w:jc w:val="both"/>
      </w:pPr>
      <w:r w:rsidRPr="00ED6D5A">
        <w:rPr>
          <w:b/>
        </w:rPr>
        <w:t>Дата:</w:t>
      </w:r>
      <w:r>
        <w:t xml:space="preserve"> 25 - 27 сентября 2019 года</w:t>
      </w:r>
    </w:p>
    <w:p w:rsidR="006536D4" w:rsidRDefault="006536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712B3D" w:rsidTr="00712B3D">
        <w:tc>
          <w:tcPr>
            <w:tcW w:w="2122" w:type="dxa"/>
          </w:tcPr>
          <w:p w:rsidR="00712B3D" w:rsidRDefault="00712B3D" w:rsidP="00712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222" w:type="dxa"/>
          </w:tcPr>
          <w:p w:rsidR="00712B3D" w:rsidRDefault="00712B3D" w:rsidP="00712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</w:tr>
      <w:tr w:rsidR="00712B3D" w:rsidTr="00712B3D">
        <w:tc>
          <w:tcPr>
            <w:tcW w:w="9344" w:type="dxa"/>
            <w:gridSpan w:val="2"/>
            <w:shd w:val="clear" w:color="auto" w:fill="D9D9D9" w:themeFill="background1" w:themeFillShade="D9"/>
          </w:tcPr>
          <w:p w:rsidR="00712B3D" w:rsidRPr="00AD0836" w:rsidRDefault="00712B3D" w:rsidP="00712B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(среда)</w:t>
            </w:r>
          </w:p>
        </w:tc>
      </w:tr>
      <w:tr w:rsidR="00712B3D" w:rsidTr="00712B3D">
        <w:tc>
          <w:tcPr>
            <w:tcW w:w="2122" w:type="dxa"/>
            <w:vAlign w:val="center"/>
          </w:tcPr>
          <w:p w:rsidR="00712B3D" w:rsidRDefault="00712B3D" w:rsidP="0071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222" w:type="dxa"/>
          </w:tcPr>
          <w:p w:rsidR="00712B3D" w:rsidRPr="00AD0836" w:rsidRDefault="00712B3D" w:rsidP="00712B3D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AD0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за неприменение работодате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лями профессиональных стандартов</w:t>
            </w:r>
            <w:r w:rsidRPr="00AD0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уровни, терминология, структура, содержание и функциональное наполнение профессиональных стандартов. Реес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профессиональных стандартов.</w:t>
            </w:r>
          </w:p>
          <w:p w:rsidR="00712B3D" w:rsidRPr="00AD0836" w:rsidRDefault="00712B3D" w:rsidP="00712B3D">
            <w:pPr>
              <w:pStyle w:val="a6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2. Правовые аспекты внедрения профессиональных стандартов.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Нормативная база разработки и применения профессиональных стандартов в России. Изменение трудового законодательства в связи с введением профессиональных стандартов. Разработка нового профессионального стандарта на предприятии. Обязанности работодателей, правовые последствия несоответствия работников профессиональным стандартам.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Внедрение профессиональных стандартов в организацию.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алгоритма пошагового введения профессиональных стандартов и сопровождающая документация. Распределение обязанностей. Приведение в соответствие с профессиональным стандартом наименования должностей и профессий работников.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Алгоритм подготовительных работ по переходу на профессиональные стандарты.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необходимых приказов. Утверждение плана работы. Утверждение комиссии. Работа по составлению реестра профессиональных стандартов для организации. Сбор всех необходимых документов и локальных нормативных актов. </w:t>
            </w: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Распределение обязанностей членов комиссии и установление сроков. Проведение обучающегося семинара для членов комиссии и руководителей подразделении. Анализ возможных ошибок.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Приведение в соответствие с профессиональным стандартом наименования должностей и профессий работников и изменения штатного расписания. 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обязанностей членов комиссии и установление сроков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Разработка, согласование и утверждение штатного расписания. Определение сроков введение нового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штатного расписания и порядок </w:t>
            </w: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внесения изменений. Уведомление сотрудников и сроки уведомления.</w:t>
            </w:r>
          </w:p>
          <w:p w:rsidR="00712B3D" w:rsidRPr="00AD0836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Кадр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овые процедуры</w:t>
            </w:r>
            <w:r w:rsidRPr="00AD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их изменения на предприятии в связи с введением принятых профессиональных стандартов. </w:t>
            </w:r>
          </w:p>
          <w:p w:rsidR="00712B3D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подготовительных работ. Алгоритм перехода на профессиональные стандарты.</w:t>
            </w:r>
          </w:p>
          <w:p w:rsidR="00712B3D" w:rsidRDefault="00712B3D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731F" w:rsidRDefault="00E1731F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731F" w:rsidRDefault="00E1731F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731F" w:rsidRPr="00712B3D" w:rsidRDefault="00E1731F" w:rsidP="00712B3D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2B3D" w:rsidTr="00712B3D">
        <w:tc>
          <w:tcPr>
            <w:tcW w:w="9344" w:type="dxa"/>
            <w:gridSpan w:val="2"/>
            <w:shd w:val="clear" w:color="auto" w:fill="D9D9D9" w:themeFill="background1" w:themeFillShade="D9"/>
          </w:tcPr>
          <w:p w:rsidR="00712B3D" w:rsidRDefault="00712B3D" w:rsidP="00712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>26 сентября (четверг)</w:t>
            </w:r>
            <w:bookmarkStart w:id="0" w:name="_GoBack"/>
            <w:bookmarkEnd w:id="0"/>
          </w:p>
        </w:tc>
      </w:tr>
      <w:tr w:rsidR="00712B3D" w:rsidTr="00E1731F">
        <w:tc>
          <w:tcPr>
            <w:tcW w:w="2122" w:type="dxa"/>
            <w:vAlign w:val="center"/>
          </w:tcPr>
          <w:p w:rsidR="00712B3D" w:rsidRDefault="00E1731F" w:rsidP="00E1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7222" w:type="dxa"/>
          </w:tcPr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7. Актуализация нормативно-правовых актов организации в соответствие с профессиональными стандартами.</w:t>
            </w:r>
          </w:p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Должностные инструкции; правила внутреннего трудового распорядка; техника безопасности труда; положение об оплате труда и премировании и прочие нормативно-правовые акты организации.</w:t>
            </w:r>
          </w:p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8. Анализ структуры и содержания профессиональных стандартов.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профессионального стандарта со спецификой и должностными обязанностями. Формирование аналитической документации по применению профессиональных стандартов в организации. Определение профессионального стандарта по обобщенным должностным функциям и действиям. Составление чек-листа на должность по профессиональному стандарту.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sz w:val="24"/>
                <w:szCs w:val="24"/>
              </w:rPr>
              <w:t>9. Аудит на соответствие сотрудников квалификационным требованиям.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работников на квалификационные требования, установленные в профессиональных стандартах. Определение необходимости повышения квалификации работников. Перевод работника на другие должности (профессии). Пошаговая инструкция. Аттестация персонала. Пошаговая инструкция. Легитимное увольнение сотрудников, не соответствующих </w:t>
            </w:r>
            <w:proofErr w:type="spellStart"/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профстандартам</w:t>
            </w:r>
            <w:proofErr w:type="spellEnd"/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. Сличение требований профессиональных стандартов со сведениями по заданным сотрудникам. Составление сличительных таблиц.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sz w:val="24"/>
                <w:szCs w:val="24"/>
              </w:rPr>
              <w:t>10. Формирование рекомендаций по приведению уровня квалификации сотрудника в соответствии с утвержденными профессиональными стандартами.</w:t>
            </w:r>
          </w:p>
          <w:p w:rsidR="00E1731F" w:rsidRDefault="00E1731F" w:rsidP="00E1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Проектирование плана подготовки специалистов для соответствия профессиональным стандартам. Принятие решение проведения аттестации персонала по части сотрудников.</w:t>
            </w:r>
          </w:p>
          <w:p w:rsidR="00E1731F" w:rsidRDefault="00E1731F" w:rsidP="00E1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1F" w:rsidRDefault="00E1731F" w:rsidP="00E1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31F" w:rsidTr="00E1731F">
        <w:tc>
          <w:tcPr>
            <w:tcW w:w="9344" w:type="dxa"/>
            <w:gridSpan w:val="2"/>
            <w:shd w:val="clear" w:color="auto" w:fill="D9D9D9" w:themeFill="background1" w:themeFillShade="D9"/>
          </w:tcPr>
          <w:p w:rsidR="00E1731F" w:rsidRDefault="00E1731F" w:rsidP="00E1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27 сентября (пятница)</w:t>
            </w:r>
          </w:p>
        </w:tc>
      </w:tr>
      <w:tr w:rsidR="00E1731F" w:rsidTr="00712B3D">
        <w:tc>
          <w:tcPr>
            <w:tcW w:w="2122" w:type="dxa"/>
          </w:tcPr>
          <w:p w:rsidR="00E1731F" w:rsidRDefault="00E1731F" w:rsidP="00E1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7222" w:type="dxa"/>
          </w:tcPr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sz w:val="24"/>
                <w:szCs w:val="24"/>
              </w:rPr>
              <w:t>11. Актуализация персональных данных в связи с введением профессиональных стандартов.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Изменение кадровых документов в связи с изменением условий трудового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ора. Информирование третьих лиц</w:t>
            </w: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внесенных изменениях. Ответственность по актуализации персональных данных.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/>
                <w:sz w:val="24"/>
                <w:szCs w:val="24"/>
              </w:rPr>
              <w:t>12. Аттестация персонала.</w:t>
            </w:r>
          </w:p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sz w:val="24"/>
                <w:szCs w:val="24"/>
              </w:rPr>
              <w:t>Очередная обязательная аттестация: цели, задачи, сроки проведения, документационное обеспечение, правила подведения итогов, конфликты и трудовые споры. Проблемы работы с не аттестованными сотрудниками.</w:t>
            </w:r>
          </w:p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13. Т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ехнологии </w:t>
            </w: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и варианты обучения сотрудников для соответствия профессиональным стандартам.</w:t>
            </w:r>
          </w:p>
          <w:p w:rsidR="00E1731F" w:rsidRPr="00AD0836" w:rsidRDefault="00E1731F" w:rsidP="00E1731F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сотрудников по инициативе работодателя, по инициативе сотрудников. Обязательное обучение и необязательное обучение. Организация обучения работников в случае несоответствия работника профессиональному стандарту. Взыскание затрат на </w:t>
            </w:r>
            <w:r w:rsidRPr="00AD08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обучение. Виды и формы повышения квалификации сотрудников. Сертификация работников. Подтверждение квалификации в квалификационных центрах.</w:t>
            </w:r>
          </w:p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14. Порядок формирования кадрового резерва с учетом требований профессиональных стандартов. </w:t>
            </w:r>
          </w:p>
          <w:p w:rsidR="00E1731F" w:rsidRPr="00AD0836" w:rsidRDefault="00E1731F" w:rsidP="00E1731F">
            <w:pPr>
              <w:pStyle w:val="a6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Требования к формированию кадрового резерва. Система оценки потенциала кандидатов. Программы обучения кадрового резерва. Контроль за качеством обучения.</w:t>
            </w:r>
          </w:p>
          <w:p w:rsidR="00E1731F" w:rsidRDefault="00E1731F" w:rsidP="00E1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3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712B3D" w:rsidRPr="00712B3D" w:rsidRDefault="00712B3D">
      <w:pPr>
        <w:rPr>
          <w:rFonts w:ascii="Times New Roman" w:hAnsi="Times New Roman" w:cs="Times New Roman"/>
          <w:sz w:val="24"/>
          <w:szCs w:val="24"/>
        </w:rPr>
      </w:pPr>
    </w:p>
    <w:sectPr w:rsidR="00712B3D" w:rsidRPr="00712B3D" w:rsidSect="00A45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3D"/>
    <w:rsid w:val="006536D4"/>
    <w:rsid w:val="00670107"/>
    <w:rsid w:val="00712B3D"/>
    <w:rsid w:val="00A451AB"/>
    <w:rsid w:val="00E1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4177"/>
  <w15:chartTrackingRefBased/>
  <w15:docId w15:val="{9E2947BD-A8D3-469D-BCBA-98F5D695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12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12B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1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12B3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712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Е. Тарасова</dc:creator>
  <cp:keywords/>
  <dc:description/>
  <cp:lastModifiedBy>Александра Е. Тарасова</cp:lastModifiedBy>
  <cp:revision>1</cp:revision>
  <dcterms:created xsi:type="dcterms:W3CDTF">2019-08-27T10:49:00Z</dcterms:created>
  <dcterms:modified xsi:type="dcterms:W3CDTF">2019-08-27T12:46:00Z</dcterms:modified>
</cp:coreProperties>
</file>