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43A5E" w14:textId="77777777" w:rsidR="000576BA" w:rsidRPr="000576BA" w:rsidRDefault="000576BA" w:rsidP="000576BA">
      <w:pPr>
        <w:pStyle w:val="a3"/>
        <w:spacing w:line="264" w:lineRule="auto"/>
        <w:ind w:firstLine="708"/>
        <w:jc w:val="center"/>
        <w:rPr>
          <w:b/>
          <w:bCs/>
          <w:iCs/>
          <w:szCs w:val="28"/>
        </w:rPr>
      </w:pPr>
      <w:r w:rsidRPr="000576BA">
        <w:rPr>
          <w:b/>
          <w:bCs/>
          <w:iCs/>
          <w:szCs w:val="28"/>
        </w:rPr>
        <w:t>Смета контракта, предметом которого являются строительство, реконструкция объектов капитального строительства</w:t>
      </w:r>
    </w:p>
    <w:p w14:paraId="41100403" w14:textId="77777777" w:rsidR="000576BA" w:rsidRDefault="000576BA" w:rsidP="000576BA">
      <w:pPr>
        <w:pStyle w:val="a3"/>
        <w:spacing w:line="264" w:lineRule="auto"/>
        <w:rPr>
          <w:szCs w:val="28"/>
        </w:rPr>
      </w:pPr>
      <w:r w:rsidRPr="002B4486">
        <w:rPr>
          <w:szCs w:val="28"/>
        </w:rPr>
        <w:t>Смета контракта является обязательным приложением к контракту</w:t>
      </w:r>
      <w:r>
        <w:rPr>
          <w:szCs w:val="28"/>
        </w:rPr>
        <w:t xml:space="preserve"> и </w:t>
      </w:r>
      <w:r w:rsidRPr="002B4486">
        <w:rPr>
          <w:szCs w:val="28"/>
        </w:rPr>
        <w:t>должна содержать наименования конструктивных решений (элементов), комп</w:t>
      </w:r>
      <w:r>
        <w:rPr>
          <w:szCs w:val="28"/>
        </w:rPr>
        <w:t xml:space="preserve">лексов (видов) работ, их цены </w:t>
      </w:r>
      <w:r w:rsidRPr="002B4486">
        <w:rPr>
          <w:szCs w:val="28"/>
        </w:rPr>
        <w:t>на принятую единицу измерения</w:t>
      </w:r>
      <w:r w:rsidRPr="00574A92">
        <w:rPr>
          <w:color w:val="000000"/>
          <w:szCs w:val="28"/>
        </w:rPr>
        <w:t>, и общую стоимость, определенную с учетом подлежащих выполнению объемов работ</w:t>
      </w:r>
      <w:r>
        <w:rPr>
          <w:color w:val="000000"/>
          <w:szCs w:val="28"/>
        </w:rPr>
        <w:t>.</w:t>
      </w:r>
      <w:r w:rsidRPr="00574A9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Рекомендуемый образец с</w:t>
      </w:r>
      <w:r>
        <w:rPr>
          <w:szCs w:val="28"/>
        </w:rPr>
        <w:t>меты</w:t>
      </w:r>
      <w:r w:rsidRPr="006627E2">
        <w:rPr>
          <w:szCs w:val="28"/>
        </w:rPr>
        <w:t xml:space="preserve"> контракта </w:t>
      </w:r>
      <w:r>
        <w:rPr>
          <w:szCs w:val="28"/>
        </w:rPr>
        <w:t>в приложении № 7</w:t>
      </w:r>
      <w:r w:rsidRPr="006627E2">
        <w:rPr>
          <w:szCs w:val="28"/>
        </w:rPr>
        <w:t>.</w:t>
      </w:r>
    </w:p>
    <w:p w14:paraId="1E76B518" w14:textId="77777777" w:rsidR="000576BA" w:rsidRPr="002B4486" w:rsidRDefault="000576BA" w:rsidP="000576BA">
      <w:pPr>
        <w:pStyle w:val="a3"/>
        <w:spacing w:line="264" w:lineRule="auto"/>
        <w:rPr>
          <w:strike/>
          <w:szCs w:val="28"/>
        </w:rPr>
      </w:pPr>
      <w:r w:rsidRPr="00AE06F5">
        <w:rPr>
          <w:szCs w:val="28"/>
        </w:rPr>
        <w:t xml:space="preserve">При осуществлении закупки работ путем проведения конкурентных способов определения подрядчиков смета контракта составляется заказчиком </w:t>
      </w:r>
      <w:r>
        <w:rPr>
          <w:szCs w:val="28"/>
        </w:rPr>
        <w:t>на основании размещенного в единой информационной системе в сфере закупок проекта сметы контракта</w:t>
      </w:r>
      <w:r w:rsidRPr="00AE06F5">
        <w:rPr>
          <w:szCs w:val="28"/>
        </w:rPr>
        <w:t xml:space="preserve"> п</w:t>
      </w:r>
      <w:r>
        <w:rPr>
          <w:szCs w:val="28"/>
        </w:rPr>
        <w:t>осредством</w:t>
      </w:r>
      <w:r w:rsidRPr="00AE06F5">
        <w:rPr>
          <w:szCs w:val="28"/>
        </w:rPr>
        <w:t xml:space="preserve"> указания цены каждого конструктивного решения (элемента), комплекса (вида) работ с учетом пропорционального снижения начальной (максимальной) цены </w:t>
      </w:r>
      <w:r>
        <w:rPr>
          <w:szCs w:val="28"/>
        </w:rPr>
        <w:t>контракта участником закупки, с </w:t>
      </w:r>
      <w:r w:rsidRPr="00AE06F5">
        <w:rPr>
          <w:szCs w:val="28"/>
        </w:rPr>
        <w:t xml:space="preserve">которым заключается контракт. </w:t>
      </w:r>
      <w:r>
        <w:rPr>
          <w:szCs w:val="28"/>
        </w:rPr>
        <w:t>При осуществлении закупки работ у единственного подрядчика смета контракта составляется в соответствии с порядком, предусмотренным для составления проекта сметы контракта</w:t>
      </w:r>
      <w:r w:rsidRPr="00574A92">
        <w:rPr>
          <w:color w:val="000000"/>
          <w:szCs w:val="28"/>
        </w:rPr>
        <w:t>.</w:t>
      </w:r>
    </w:p>
    <w:p w14:paraId="4B0E1091" w14:textId="77777777" w:rsidR="000576BA" w:rsidRPr="00C03EEB" w:rsidRDefault="000576BA" w:rsidP="000576BA">
      <w:pPr>
        <w:pStyle w:val="a3"/>
        <w:spacing w:line="264" w:lineRule="auto"/>
        <w:rPr>
          <w:szCs w:val="28"/>
        </w:rPr>
      </w:pPr>
      <w:r>
        <w:rPr>
          <w:szCs w:val="28"/>
        </w:rPr>
        <w:t>С</w:t>
      </w:r>
      <w:r w:rsidRPr="00C03EEB">
        <w:rPr>
          <w:szCs w:val="28"/>
        </w:rPr>
        <w:t xml:space="preserve">оставление сметы контракта осуществляется в пределах цены контракта без использования предусмотренных проектной документацией в соответствии с Градостроительным </w:t>
      </w:r>
      <w:hyperlink r:id="rId4" w:history="1">
        <w:r w:rsidRPr="00C03EEB">
          <w:rPr>
            <w:szCs w:val="28"/>
          </w:rPr>
          <w:t>кодексом</w:t>
        </w:r>
      </w:hyperlink>
      <w:r w:rsidRPr="00C03EEB">
        <w:rPr>
          <w:szCs w:val="28"/>
        </w:rPr>
        <w:t xml:space="preserve"> сметных нормативов, сведения о которых включены в федеральн</w:t>
      </w:r>
      <w:r>
        <w:rPr>
          <w:szCs w:val="28"/>
        </w:rPr>
        <w:t>ый реестр сметных нормативов, и </w:t>
      </w:r>
      <w:r w:rsidRPr="00C03EEB">
        <w:rPr>
          <w:szCs w:val="28"/>
        </w:rPr>
        <w:t>сметных цен строительных ресурсов.</w:t>
      </w:r>
    </w:p>
    <w:p w14:paraId="759E6303" w14:textId="77777777" w:rsidR="000576BA" w:rsidRDefault="000576BA" w:rsidP="000576BA">
      <w:pPr>
        <w:pStyle w:val="a3"/>
        <w:spacing w:line="264" w:lineRule="auto"/>
        <w:rPr>
          <w:szCs w:val="28"/>
        </w:rPr>
      </w:pPr>
      <w:r w:rsidRPr="006627E2">
        <w:rPr>
          <w:szCs w:val="28"/>
        </w:rPr>
        <w:t>Смета контракта является основанием для формирования первичных учетных документов, предусмотренн</w:t>
      </w:r>
      <w:r>
        <w:rPr>
          <w:szCs w:val="28"/>
        </w:rPr>
        <w:t>ых законодательством Российской </w:t>
      </w:r>
      <w:r w:rsidRPr="006627E2">
        <w:rPr>
          <w:szCs w:val="28"/>
        </w:rPr>
        <w:t xml:space="preserve">Федерации о бухгалтерском и налоговом учете, в том числе используемых для расчетов между заказчиком и подрядчиком за выполненные работы, а также при проверке выполненных работ контролирующими органами. </w:t>
      </w:r>
      <w:r>
        <w:rPr>
          <w:szCs w:val="28"/>
        </w:rPr>
        <w:t xml:space="preserve">Внесение изменений в смету контракта осуществляется в случаях, </w:t>
      </w:r>
      <w:r w:rsidRPr="006627E2">
        <w:rPr>
          <w:szCs w:val="28"/>
        </w:rPr>
        <w:t xml:space="preserve">установленных </w:t>
      </w:r>
      <w:r>
        <w:rPr>
          <w:szCs w:val="28"/>
        </w:rPr>
        <w:t xml:space="preserve">Федеральным законом </w:t>
      </w:r>
      <w:r>
        <w:rPr>
          <w:rFonts w:eastAsia="Times New Roman"/>
          <w:szCs w:val="24"/>
          <w:lang w:eastAsia="ru-RU"/>
        </w:rPr>
        <w:t>№</w:t>
      </w:r>
      <w:r w:rsidRPr="00733437">
        <w:rPr>
          <w:rFonts w:eastAsia="Times New Roman"/>
          <w:szCs w:val="24"/>
          <w:lang w:eastAsia="ru-RU"/>
        </w:rPr>
        <w:t xml:space="preserve"> 44-ФЗ</w:t>
      </w:r>
      <w:r>
        <w:rPr>
          <w:szCs w:val="28"/>
        </w:rPr>
        <w:t>.</w:t>
      </w:r>
    </w:p>
    <w:p w14:paraId="58497036" w14:textId="77777777" w:rsidR="000576BA" w:rsidRPr="006627E2" w:rsidRDefault="000576BA" w:rsidP="000576BA">
      <w:pPr>
        <w:pStyle w:val="a3"/>
        <w:spacing w:line="264" w:lineRule="auto"/>
        <w:ind w:firstLine="708"/>
        <w:rPr>
          <w:szCs w:val="28"/>
        </w:rPr>
      </w:pPr>
      <w:r w:rsidRPr="006627E2">
        <w:rPr>
          <w:szCs w:val="28"/>
        </w:rPr>
        <w:t>В случае внесения изменений в проектную документацию</w:t>
      </w:r>
      <w:r>
        <w:rPr>
          <w:szCs w:val="28"/>
        </w:rPr>
        <w:t>,</w:t>
      </w:r>
      <w:r w:rsidRPr="006627E2">
        <w:rPr>
          <w:szCs w:val="28"/>
        </w:rPr>
        <w:t xml:space="preserve"> </w:t>
      </w:r>
      <w:r>
        <w:rPr>
          <w:szCs w:val="28"/>
        </w:rPr>
        <w:t xml:space="preserve">влекущих </w:t>
      </w:r>
      <w:r w:rsidRPr="006627E2">
        <w:rPr>
          <w:szCs w:val="28"/>
        </w:rPr>
        <w:t>изменени</w:t>
      </w:r>
      <w:r>
        <w:rPr>
          <w:szCs w:val="28"/>
        </w:rPr>
        <w:t>е</w:t>
      </w:r>
      <w:r w:rsidRPr="006627E2">
        <w:rPr>
          <w:szCs w:val="28"/>
        </w:rPr>
        <w:t xml:space="preserve"> объемов работ конструктивного решения (элемента), комплекса (вида) работ, </w:t>
      </w:r>
      <w:r>
        <w:rPr>
          <w:szCs w:val="28"/>
        </w:rPr>
        <w:t>предусмотренных</w:t>
      </w:r>
      <w:r w:rsidRPr="006627E2">
        <w:rPr>
          <w:szCs w:val="28"/>
        </w:rPr>
        <w:t xml:space="preserve"> сметой контракта</w:t>
      </w:r>
      <w:r>
        <w:rPr>
          <w:szCs w:val="28"/>
        </w:rPr>
        <w:t>,</w:t>
      </w:r>
      <w:r w:rsidRPr="006627E2">
        <w:rPr>
          <w:szCs w:val="28"/>
        </w:rPr>
        <w:t xml:space="preserve"> общая стоимость соответствующего конструктивного решения (элемента), комплекса (вида) работ </w:t>
      </w:r>
      <w:r w:rsidRPr="006627E2">
        <w:t xml:space="preserve">определяется </w:t>
      </w:r>
      <w:r w:rsidRPr="006627E2">
        <w:rPr>
          <w:szCs w:val="28"/>
        </w:rPr>
        <w:t>исходя из установленной в смете контракта цены единицы измерения данного конструктивного решения (элемента), комплекса (вида) работ с учетом изменения объемов работ.</w:t>
      </w:r>
    </w:p>
    <w:p w14:paraId="1462A6DB" w14:textId="77777777" w:rsidR="000576BA" w:rsidRPr="006627E2" w:rsidRDefault="000576BA" w:rsidP="000576BA">
      <w:pPr>
        <w:pStyle w:val="a3"/>
        <w:spacing w:line="264" w:lineRule="auto"/>
        <w:rPr>
          <w:szCs w:val="28"/>
        </w:rPr>
      </w:pPr>
      <w:r w:rsidRPr="006627E2">
        <w:rPr>
          <w:szCs w:val="28"/>
        </w:rPr>
        <w:t>В случае внесения изменений в п</w:t>
      </w:r>
      <w:r>
        <w:rPr>
          <w:szCs w:val="28"/>
        </w:rPr>
        <w:t>роектную документацию в связи с </w:t>
      </w:r>
      <w:r w:rsidRPr="006627E2">
        <w:rPr>
          <w:szCs w:val="28"/>
        </w:rPr>
        <w:t>включением в нее ранее не предусмотренных такой проектной документацией видов работ и (или) затрат, цена так</w:t>
      </w:r>
      <w:r>
        <w:rPr>
          <w:szCs w:val="28"/>
        </w:rPr>
        <w:t>их работ, затрат определяется с </w:t>
      </w:r>
      <w:r w:rsidRPr="006627E2">
        <w:rPr>
          <w:szCs w:val="28"/>
        </w:rPr>
        <w:t xml:space="preserve">использованием соответствующих сметных нормативов и сметных цен, </w:t>
      </w:r>
      <w:r>
        <w:rPr>
          <w:szCs w:val="28"/>
        </w:rPr>
        <w:t xml:space="preserve">а также </w:t>
      </w:r>
      <w:r w:rsidRPr="006627E2">
        <w:rPr>
          <w:szCs w:val="28"/>
        </w:rPr>
        <w:t>методических и других документов в сфере ценообразования и</w:t>
      </w:r>
      <w:r>
        <w:rPr>
          <w:szCs w:val="28"/>
        </w:rPr>
        <w:t> </w:t>
      </w:r>
      <w:r w:rsidRPr="006627E2">
        <w:rPr>
          <w:szCs w:val="28"/>
        </w:rPr>
        <w:t xml:space="preserve">сметного нормирования в области градостроительной деятельности, применяемых с </w:t>
      </w:r>
      <w:r w:rsidRPr="006627E2">
        <w:rPr>
          <w:szCs w:val="28"/>
        </w:rPr>
        <w:lastRenderedPageBreak/>
        <w:t xml:space="preserve">учетом положений статьи 3 </w:t>
      </w:r>
      <w:r>
        <w:rPr>
          <w:szCs w:val="28"/>
        </w:rPr>
        <w:t>Ф</w:t>
      </w:r>
      <w:r w:rsidRPr="00BC3AC3">
        <w:rPr>
          <w:szCs w:val="28"/>
        </w:rPr>
        <w:t xml:space="preserve">едерального закона </w:t>
      </w:r>
      <w:r w:rsidRPr="006627E2">
        <w:rPr>
          <w:szCs w:val="28"/>
        </w:rPr>
        <w:t>№ 191-ФЗ с</w:t>
      </w:r>
      <w:r>
        <w:rPr>
          <w:szCs w:val="28"/>
        </w:rPr>
        <w:t> </w:t>
      </w:r>
      <w:r w:rsidRPr="006627E2">
        <w:rPr>
          <w:szCs w:val="28"/>
        </w:rPr>
        <w:t>учетом затрат</w:t>
      </w:r>
      <w:r w:rsidRPr="00576AFB">
        <w:rPr>
          <w:szCs w:val="28"/>
        </w:rPr>
        <w:t xml:space="preserve">, </w:t>
      </w:r>
      <w:r>
        <w:rPr>
          <w:szCs w:val="28"/>
        </w:rPr>
        <w:t>включенных в состав цены конструктивных решений (элементов), комплексов (видов) работ</w:t>
      </w:r>
      <w:r w:rsidRPr="006627E2">
        <w:rPr>
          <w:szCs w:val="28"/>
        </w:rPr>
        <w:t xml:space="preserve"> </w:t>
      </w:r>
      <w:r>
        <w:rPr>
          <w:szCs w:val="28"/>
        </w:rPr>
        <w:t>(</w:t>
      </w:r>
      <w:r w:rsidRPr="006627E2">
        <w:rPr>
          <w:szCs w:val="28"/>
        </w:rPr>
        <w:t xml:space="preserve">Ц </w:t>
      </w:r>
      <w:r w:rsidRPr="006627E2">
        <w:rPr>
          <w:sz w:val="20"/>
          <w:szCs w:val="20"/>
        </w:rPr>
        <w:t xml:space="preserve">доп. </w:t>
      </w:r>
      <w:r>
        <w:rPr>
          <w:sz w:val="20"/>
          <w:szCs w:val="20"/>
        </w:rPr>
        <w:t>р</w:t>
      </w:r>
      <w:r w:rsidRPr="006627E2">
        <w:rPr>
          <w:sz w:val="20"/>
          <w:szCs w:val="20"/>
        </w:rPr>
        <w:t>аб</w:t>
      </w:r>
      <w:r>
        <w:rPr>
          <w:sz w:val="20"/>
          <w:szCs w:val="20"/>
        </w:rPr>
        <w:t>)</w:t>
      </w:r>
      <w:r w:rsidRPr="006627E2">
        <w:rPr>
          <w:szCs w:val="28"/>
        </w:rPr>
        <w:t>, по формуле:</w:t>
      </w:r>
    </w:p>
    <w:p w14:paraId="27A7CDDE" w14:textId="77777777" w:rsidR="000576BA" w:rsidRPr="006627E2" w:rsidRDefault="000576BA" w:rsidP="000576BA">
      <w:pPr>
        <w:pStyle w:val="a3"/>
        <w:tabs>
          <w:tab w:val="left" w:pos="3382"/>
        </w:tabs>
        <w:spacing w:line="264" w:lineRule="auto"/>
        <w:rPr>
          <w:szCs w:val="28"/>
        </w:rPr>
      </w:pPr>
      <w:r>
        <w:rPr>
          <w:szCs w:val="28"/>
        </w:rPr>
        <w:tab/>
      </w:r>
    </w:p>
    <w:p w14:paraId="6B917ADD" w14:textId="77777777" w:rsidR="000576BA" w:rsidRPr="006627E2" w:rsidRDefault="000576BA" w:rsidP="000576BA">
      <w:pPr>
        <w:pStyle w:val="a3"/>
        <w:spacing w:line="264" w:lineRule="auto"/>
        <w:jc w:val="center"/>
        <w:rPr>
          <w:szCs w:val="28"/>
        </w:rPr>
      </w:pPr>
      <w:r w:rsidRPr="006627E2">
        <w:rPr>
          <w:szCs w:val="28"/>
        </w:rPr>
        <w:t xml:space="preserve">Ц </w:t>
      </w:r>
      <w:r w:rsidRPr="006627E2">
        <w:rPr>
          <w:sz w:val="20"/>
          <w:szCs w:val="20"/>
        </w:rPr>
        <w:t>доп. раб.</w:t>
      </w:r>
      <w:r w:rsidRPr="006627E2">
        <w:rPr>
          <w:szCs w:val="28"/>
        </w:rPr>
        <w:t xml:space="preserve"> = Ц </w:t>
      </w:r>
      <w:proofErr w:type="spellStart"/>
      <w:r w:rsidRPr="006627E2">
        <w:rPr>
          <w:sz w:val="20"/>
          <w:szCs w:val="20"/>
        </w:rPr>
        <w:t>подр</w:t>
      </w:r>
      <w:proofErr w:type="spellEnd"/>
      <w:r w:rsidRPr="006627E2">
        <w:rPr>
          <w:sz w:val="20"/>
          <w:szCs w:val="20"/>
        </w:rPr>
        <w:t xml:space="preserve">. раб. </w:t>
      </w:r>
      <w:r w:rsidRPr="006627E2">
        <w:rPr>
          <w:szCs w:val="28"/>
        </w:rPr>
        <w:t xml:space="preserve">х К </w:t>
      </w:r>
      <w:r w:rsidRPr="006627E2">
        <w:rPr>
          <w:sz w:val="20"/>
          <w:szCs w:val="20"/>
        </w:rPr>
        <w:t xml:space="preserve">инф. </w:t>
      </w:r>
      <w:r w:rsidRPr="006627E2">
        <w:rPr>
          <w:szCs w:val="28"/>
        </w:rPr>
        <w:t>х</w:t>
      </w:r>
      <w:r w:rsidRPr="006627E2">
        <w:rPr>
          <w:sz w:val="20"/>
          <w:szCs w:val="20"/>
        </w:rPr>
        <w:t xml:space="preserve"> </w:t>
      </w:r>
      <w:r w:rsidRPr="006627E2">
        <w:rPr>
          <w:szCs w:val="28"/>
        </w:rPr>
        <w:t xml:space="preserve">К </w:t>
      </w:r>
      <w:proofErr w:type="spellStart"/>
      <w:r w:rsidRPr="006627E2">
        <w:rPr>
          <w:sz w:val="20"/>
          <w:szCs w:val="20"/>
        </w:rPr>
        <w:t>тенд</w:t>
      </w:r>
      <w:proofErr w:type="spellEnd"/>
      <w:r w:rsidRPr="006627E2">
        <w:rPr>
          <w:szCs w:val="28"/>
        </w:rPr>
        <w:t>.,</w:t>
      </w:r>
    </w:p>
    <w:p w14:paraId="4723597C" w14:textId="77777777" w:rsidR="000576BA" w:rsidRPr="006627E2" w:rsidRDefault="000576BA" w:rsidP="000576BA">
      <w:pPr>
        <w:pStyle w:val="a3"/>
        <w:spacing w:line="264" w:lineRule="auto"/>
        <w:rPr>
          <w:szCs w:val="28"/>
        </w:rPr>
      </w:pPr>
      <w:r w:rsidRPr="006627E2">
        <w:rPr>
          <w:szCs w:val="28"/>
        </w:rPr>
        <w:t>где:</w:t>
      </w:r>
    </w:p>
    <w:p w14:paraId="322CC4C9" w14:textId="77777777" w:rsidR="000576BA" w:rsidRPr="006627E2" w:rsidRDefault="000576BA" w:rsidP="000576BA">
      <w:pPr>
        <w:pStyle w:val="a3"/>
        <w:spacing w:line="264" w:lineRule="auto"/>
        <w:rPr>
          <w:szCs w:val="28"/>
        </w:rPr>
      </w:pPr>
    </w:p>
    <w:tbl>
      <w:tblPr>
        <w:tblW w:w="8930" w:type="dxa"/>
        <w:tblInd w:w="709" w:type="dxa"/>
        <w:tblLook w:val="04A0" w:firstRow="1" w:lastRow="0" w:firstColumn="1" w:lastColumn="0" w:noHBand="0" w:noVBand="1"/>
      </w:tblPr>
      <w:tblGrid>
        <w:gridCol w:w="1418"/>
        <w:gridCol w:w="1019"/>
        <w:gridCol w:w="6493"/>
      </w:tblGrid>
      <w:tr w:rsidR="000576BA" w:rsidRPr="006627E2" w14:paraId="1F1D8853" w14:textId="77777777" w:rsidTr="00435D3F">
        <w:tc>
          <w:tcPr>
            <w:tcW w:w="1418" w:type="dxa"/>
            <w:shd w:val="clear" w:color="auto" w:fill="auto"/>
          </w:tcPr>
          <w:p w14:paraId="7A862B95" w14:textId="77777777" w:rsidR="000576BA" w:rsidRPr="006627E2" w:rsidRDefault="000576BA" w:rsidP="00435D3F">
            <w:pPr>
              <w:pStyle w:val="a3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 xml:space="preserve">Ц </w:t>
            </w:r>
            <w:proofErr w:type="spellStart"/>
            <w:r w:rsidRPr="006627E2">
              <w:rPr>
                <w:sz w:val="20"/>
                <w:szCs w:val="20"/>
              </w:rPr>
              <w:t>подр</w:t>
            </w:r>
            <w:proofErr w:type="spellEnd"/>
            <w:r w:rsidRPr="006627E2">
              <w:rPr>
                <w:sz w:val="20"/>
                <w:szCs w:val="20"/>
              </w:rPr>
              <w:t>. раб.</w:t>
            </w:r>
          </w:p>
        </w:tc>
        <w:tc>
          <w:tcPr>
            <w:tcW w:w="1019" w:type="dxa"/>
            <w:shd w:val="clear" w:color="auto" w:fill="auto"/>
          </w:tcPr>
          <w:p w14:paraId="0842E7CC" w14:textId="77777777" w:rsidR="000576BA" w:rsidRPr="006627E2" w:rsidRDefault="000576BA" w:rsidP="00435D3F">
            <w:pPr>
              <w:pStyle w:val="a3"/>
              <w:spacing w:line="264" w:lineRule="auto"/>
              <w:rPr>
                <w:szCs w:val="28"/>
              </w:rPr>
            </w:pPr>
            <w:r w:rsidRPr="006627E2">
              <w:rPr>
                <w:szCs w:val="28"/>
              </w:rPr>
              <w:t>-</w:t>
            </w:r>
          </w:p>
        </w:tc>
        <w:tc>
          <w:tcPr>
            <w:tcW w:w="6493" w:type="dxa"/>
            <w:shd w:val="clear" w:color="auto" w:fill="auto"/>
          </w:tcPr>
          <w:p w14:paraId="09C3298C" w14:textId="77777777" w:rsidR="000576BA" w:rsidRPr="006627E2" w:rsidRDefault="000576BA" w:rsidP="00435D3F">
            <w:pPr>
              <w:pStyle w:val="a3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 xml:space="preserve">цена </w:t>
            </w:r>
            <w:r>
              <w:rPr>
                <w:szCs w:val="28"/>
              </w:rPr>
              <w:t>ранее не предусмотренных</w:t>
            </w:r>
            <w:r w:rsidRPr="006627E2">
              <w:rPr>
                <w:szCs w:val="28"/>
              </w:rPr>
              <w:t xml:space="preserve"> проектной документацией видов работ и (или) затрат в уровне цен на дату утверж</w:t>
            </w:r>
            <w:r>
              <w:rPr>
                <w:szCs w:val="28"/>
              </w:rPr>
              <w:t>дения сметной документации</w:t>
            </w:r>
            <w:r w:rsidRPr="006627E2">
              <w:rPr>
                <w:szCs w:val="28"/>
              </w:rPr>
              <w:t>;</w:t>
            </w:r>
          </w:p>
        </w:tc>
      </w:tr>
      <w:tr w:rsidR="000576BA" w:rsidRPr="006627E2" w14:paraId="452586AB" w14:textId="77777777" w:rsidTr="00435D3F">
        <w:tc>
          <w:tcPr>
            <w:tcW w:w="1418" w:type="dxa"/>
            <w:shd w:val="clear" w:color="auto" w:fill="auto"/>
          </w:tcPr>
          <w:p w14:paraId="4B038EED" w14:textId="77777777" w:rsidR="000576BA" w:rsidRPr="006627E2" w:rsidRDefault="000576BA" w:rsidP="00435D3F">
            <w:pPr>
              <w:pStyle w:val="a3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 xml:space="preserve">К </w:t>
            </w:r>
            <w:r w:rsidRPr="006627E2">
              <w:rPr>
                <w:sz w:val="20"/>
                <w:szCs w:val="20"/>
              </w:rPr>
              <w:t>инф.</w:t>
            </w:r>
          </w:p>
        </w:tc>
        <w:tc>
          <w:tcPr>
            <w:tcW w:w="1019" w:type="dxa"/>
            <w:shd w:val="clear" w:color="auto" w:fill="auto"/>
          </w:tcPr>
          <w:p w14:paraId="628EEB78" w14:textId="77777777" w:rsidR="000576BA" w:rsidRPr="006627E2" w:rsidRDefault="000576BA" w:rsidP="00435D3F">
            <w:pPr>
              <w:pStyle w:val="a3"/>
              <w:spacing w:line="264" w:lineRule="auto"/>
              <w:rPr>
                <w:strike/>
                <w:szCs w:val="28"/>
              </w:rPr>
            </w:pPr>
            <w:r w:rsidRPr="006627E2">
              <w:rPr>
                <w:strike/>
                <w:szCs w:val="28"/>
              </w:rPr>
              <w:t>-</w:t>
            </w:r>
          </w:p>
        </w:tc>
        <w:tc>
          <w:tcPr>
            <w:tcW w:w="6493" w:type="dxa"/>
            <w:shd w:val="clear" w:color="auto" w:fill="auto"/>
          </w:tcPr>
          <w:p w14:paraId="1FEC3E7A" w14:textId="77777777" w:rsidR="000576BA" w:rsidRPr="006627E2" w:rsidRDefault="000576BA" w:rsidP="00435D3F">
            <w:pPr>
              <w:pStyle w:val="a3"/>
              <w:spacing w:line="264" w:lineRule="auto"/>
              <w:ind w:firstLine="0"/>
              <w:rPr>
                <w:strike/>
                <w:szCs w:val="28"/>
              </w:rPr>
            </w:pPr>
            <w:r w:rsidRPr="006627E2">
              <w:rPr>
                <w:szCs w:val="28"/>
              </w:rPr>
              <w:t>индексы-дефляторы, индексы инфляции, примененные при расчете</w:t>
            </w:r>
            <w:r>
              <w:rPr>
                <w:szCs w:val="28"/>
              </w:rPr>
              <w:t xml:space="preserve"> НМЦК</w:t>
            </w:r>
            <w:r w:rsidRPr="006627E2">
              <w:rPr>
                <w:szCs w:val="28"/>
              </w:rPr>
              <w:t>;</w:t>
            </w:r>
          </w:p>
        </w:tc>
      </w:tr>
      <w:tr w:rsidR="000576BA" w:rsidRPr="006627E2" w14:paraId="5305EBC8" w14:textId="77777777" w:rsidTr="00435D3F">
        <w:tc>
          <w:tcPr>
            <w:tcW w:w="1418" w:type="dxa"/>
            <w:shd w:val="clear" w:color="auto" w:fill="auto"/>
          </w:tcPr>
          <w:p w14:paraId="4BAC1860" w14:textId="77777777" w:rsidR="000576BA" w:rsidRPr="006627E2" w:rsidRDefault="000576BA" w:rsidP="00435D3F">
            <w:pPr>
              <w:pStyle w:val="a3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 xml:space="preserve">К </w:t>
            </w:r>
            <w:proofErr w:type="spellStart"/>
            <w:r w:rsidRPr="006627E2">
              <w:rPr>
                <w:sz w:val="20"/>
                <w:szCs w:val="20"/>
              </w:rPr>
              <w:t>тенд</w:t>
            </w:r>
            <w:proofErr w:type="spellEnd"/>
            <w:r w:rsidRPr="006627E2">
              <w:rPr>
                <w:szCs w:val="28"/>
              </w:rPr>
              <w:t>.</w:t>
            </w:r>
          </w:p>
        </w:tc>
        <w:tc>
          <w:tcPr>
            <w:tcW w:w="1019" w:type="dxa"/>
            <w:shd w:val="clear" w:color="auto" w:fill="auto"/>
          </w:tcPr>
          <w:p w14:paraId="242FF4F1" w14:textId="77777777" w:rsidR="000576BA" w:rsidRPr="006627E2" w:rsidRDefault="000576BA" w:rsidP="00435D3F">
            <w:pPr>
              <w:pStyle w:val="a3"/>
              <w:spacing w:line="264" w:lineRule="auto"/>
              <w:rPr>
                <w:szCs w:val="28"/>
              </w:rPr>
            </w:pPr>
            <w:r w:rsidRPr="006627E2">
              <w:rPr>
                <w:szCs w:val="28"/>
              </w:rPr>
              <w:t>-</w:t>
            </w:r>
          </w:p>
        </w:tc>
        <w:tc>
          <w:tcPr>
            <w:tcW w:w="6493" w:type="dxa"/>
            <w:shd w:val="clear" w:color="auto" w:fill="auto"/>
          </w:tcPr>
          <w:p w14:paraId="5ED481C3" w14:textId="77777777" w:rsidR="000576BA" w:rsidRDefault="000576BA" w:rsidP="00435D3F">
            <w:pPr>
              <w:pStyle w:val="a3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>коэффициент снижения</w:t>
            </w:r>
            <w:r>
              <w:rPr>
                <w:szCs w:val="28"/>
              </w:rPr>
              <w:t xml:space="preserve"> НМЦК</w:t>
            </w:r>
            <w:r w:rsidRPr="006627E2">
              <w:rPr>
                <w:szCs w:val="28"/>
              </w:rPr>
              <w:t>, определенный по результатам закупочных процедур.</w:t>
            </w:r>
          </w:p>
          <w:p w14:paraId="1983093B" w14:textId="77777777" w:rsidR="000576BA" w:rsidRPr="006627E2" w:rsidRDefault="000576BA" w:rsidP="00435D3F">
            <w:pPr>
              <w:pStyle w:val="a3"/>
              <w:spacing w:line="264" w:lineRule="auto"/>
              <w:ind w:firstLine="0"/>
              <w:rPr>
                <w:szCs w:val="28"/>
              </w:rPr>
            </w:pPr>
          </w:p>
        </w:tc>
      </w:tr>
    </w:tbl>
    <w:p w14:paraId="25333F36" w14:textId="77777777" w:rsidR="000576BA" w:rsidRPr="00AB38F8" w:rsidRDefault="000576BA" w:rsidP="000576BA">
      <w:pPr>
        <w:pStyle w:val="a3"/>
        <w:spacing w:line="264" w:lineRule="auto"/>
        <w:rPr>
          <w:szCs w:val="28"/>
        </w:rPr>
      </w:pPr>
      <w:r w:rsidRPr="006627E2">
        <w:rPr>
          <w:szCs w:val="28"/>
        </w:rPr>
        <w:t xml:space="preserve"> В случае, </w:t>
      </w:r>
      <w:r w:rsidRPr="000261F4">
        <w:rPr>
          <w:color w:val="000000"/>
          <w:szCs w:val="28"/>
        </w:rPr>
        <w:t>если в конструктивном решении (элементе), комплексе (виде) работ сгруппированы разнородные работы и затраты</w:t>
      </w:r>
      <w:r w:rsidRPr="006627E2">
        <w:rPr>
          <w:szCs w:val="28"/>
        </w:rPr>
        <w:t xml:space="preserve">, то корректировка стоимости указанных работ осуществляется </w:t>
      </w:r>
      <w:r>
        <w:rPr>
          <w:szCs w:val="28"/>
        </w:rPr>
        <w:t xml:space="preserve">с </w:t>
      </w:r>
      <w:r w:rsidRPr="006627E2">
        <w:rPr>
          <w:szCs w:val="28"/>
        </w:rPr>
        <w:t>использованием соответствующих сметных нормативов и сметных цен</w:t>
      </w:r>
      <w:r>
        <w:rPr>
          <w:szCs w:val="28"/>
        </w:rPr>
        <w:t>, а также методических и </w:t>
      </w:r>
      <w:r w:rsidRPr="006627E2">
        <w:rPr>
          <w:szCs w:val="28"/>
        </w:rPr>
        <w:t>других документов в сфере ценообразо</w:t>
      </w:r>
      <w:r>
        <w:rPr>
          <w:szCs w:val="28"/>
        </w:rPr>
        <w:t>вания и сметного нормирования в </w:t>
      </w:r>
      <w:r w:rsidRPr="006627E2">
        <w:rPr>
          <w:szCs w:val="28"/>
        </w:rPr>
        <w:t xml:space="preserve">области градостроительной деятельности, применяемых с учетом положений статьи </w:t>
      </w:r>
      <w:r w:rsidRPr="00AB38F8">
        <w:rPr>
          <w:szCs w:val="28"/>
        </w:rPr>
        <w:t xml:space="preserve">3 Федерального закона от 26 июля 2017 г. № 191-ФЗ с учетом затрат, включенных в состав цены конструктивных решений (элементов), комплексов (видов) работ по </w:t>
      </w:r>
      <w:r>
        <w:rPr>
          <w:szCs w:val="28"/>
        </w:rPr>
        <w:t xml:space="preserve">вышеуказанной </w:t>
      </w:r>
      <w:r w:rsidRPr="00AB38F8">
        <w:rPr>
          <w:szCs w:val="28"/>
        </w:rPr>
        <w:t>формуле</w:t>
      </w:r>
      <w:r>
        <w:rPr>
          <w:szCs w:val="28"/>
        </w:rPr>
        <w:t>.</w:t>
      </w:r>
      <w:r w:rsidRPr="00AB38F8">
        <w:rPr>
          <w:szCs w:val="28"/>
        </w:rPr>
        <w:t xml:space="preserve"> </w:t>
      </w:r>
    </w:p>
    <w:p w14:paraId="3A0CAF25" w14:textId="77777777" w:rsidR="000576BA" w:rsidRDefault="000576BA" w:rsidP="000576BA">
      <w:pPr>
        <w:pStyle w:val="a3"/>
        <w:spacing w:line="264" w:lineRule="auto"/>
        <w:rPr>
          <w:szCs w:val="28"/>
        </w:rPr>
      </w:pPr>
      <w:r w:rsidRPr="00AB38F8">
        <w:rPr>
          <w:szCs w:val="28"/>
        </w:rPr>
        <w:t xml:space="preserve">В случае необходимости изменения объемов и (или) видов отдельных конструктивных решений (элементов), комплексов (видов) работ, в том числе их детализации в пределах цены конструктивных решений (элементов), комплексов (видов) работ, внесение изменений в смету контракта осуществляется с учетом положений </w:t>
      </w:r>
      <w:r w:rsidRPr="00AB38F8">
        <w:rPr>
          <w:rFonts w:ascii="Tahoma" w:hAnsi="Tahoma" w:cs="Tahoma"/>
          <w:szCs w:val="28"/>
        </w:rPr>
        <w:t>﻿</w:t>
      </w:r>
      <w:r w:rsidRPr="00AB38F8">
        <w:rPr>
          <w:szCs w:val="28"/>
        </w:rPr>
        <w:t>подпункта «в» пункта 1 части 1 статьи 95 Федерального закона № 44-ФЗ.</w:t>
      </w:r>
      <w:r>
        <w:rPr>
          <w:szCs w:val="28"/>
        </w:rPr>
        <w:t xml:space="preserve"> Рекомендуемый образец </w:t>
      </w:r>
      <w:r w:rsidRPr="003A1A45">
        <w:rPr>
          <w:szCs w:val="28"/>
        </w:rPr>
        <w:t>Смет</w:t>
      </w:r>
      <w:r>
        <w:rPr>
          <w:szCs w:val="28"/>
        </w:rPr>
        <w:t>ы</w:t>
      </w:r>
      <w:r w:rsidRPr="003A1A45">
        <w:rPr>
          <w:szCs w:val="28"/>
        </w:rPr>
        <w:t xml:space="preserve"> контракта </w:t>
      </w:r>
      <w:r>
        <w:rPr>
          <w:szCs w:val="28"/>
        </w:rPr>
        <w:br/>
      </w:r>
      <w:r w:rsidRPr="003A1A45">
        <w:rPr>
          <w:szCs w:val="28"/>
        </w:rPr>
        <w:t>(с учетом изменения)</w:t>
      </w:r>
      <w:r>
        <w:rPr>
          <w:szCs w:val="28"/>
        </w:rPr>
        <w:t xml:space="preserve"> в приложении № 8.</w:t>
      </w:r>
    </w:p>
    <w:p w14:paraId="0B1EBAAE" w14:textId="77777777" w:rsidR="006E77C0" w:rsidRPr="000576BA" w:rsidRDefault="006E77C0" w:rsidP="000576BA">
      <w:pPr>
        <w:rPr>
          <w:sz w:val="28"/>
          <w:szCs w:val="28"/>
        </w:rPr>
      </w:pPr>
      <w:bookmarkStart w:id="0" w:name="_GoBack"/>
      <w:bookmarkEnd w:id="0"/>
    </w:p>
    <w:sectPr w:rsidR="006E77C0" w:rsidRPr="000576BA" w:rsidSect="000576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E6"/>
    <w:rsid w:val="000576BA"/>
    <w:rsid w:val="006E77C0"/>
    <w:rsid w:val="00EB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F4CFB-4DBC-4968-A82F-61AC7319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отов,Илья"/>
    <w:qFormat/>
    <w:rsid w:val="000576B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иль Илюшки!"/>
    <w:link w:val="a4"/>
    <w:uiPriority w:val="1"/>
    <w:qFormat/>
    <w:rsid w:val="000576B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aliases w:val="Стиль Илюшки! Знак"/>
    <w:link w:val="a3"/>
    <w:uiPriority w:val="1"/>
    <w:rsid w:val="000576B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t.consultant.ru?rnd=CE8B4D5EAA9E04D93CCF630911FE59C8&amp;req=doc&amp;base=LAW&amp;n=330152&amp;dst=101886&amp;fld=134&amp;date=06.11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Х. Галимзянова</dc:creator>
  <cp:keywords/>
  <dc:description/>
  <cp:lastModifiedBy>Алия Х. Галимзянова</cp:lastModifiedBy>
  <cp:revision>2</cp:revision>
  <dcterms:created xsi:type="dcterms:W3CDTF">2020-01-10T05:25:00Z</dcterms:created>
  <dcterms:modified xsi:type="dcterms:W3CDTF">2020-01-10T05:25:00Z</dcterms:modified>
</cp:coreProperties>
</file>